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EB" w:rsidRPr="00511523" w:rsidRDefault="000D79B7" w:rsidP="00D16822">
      <w:pPr>
        <w:pStyle w:val="Title"/>
        <w:rPr>
          <w:b/>
          <w:sz w:val="32"/>
          <w:szCs w:val="32"/>
        </w:rPr>
      </w:pPr>
      <w:r w:rsidRPr="00511523">
        <w:rPr>
          <w:b/>
          <w:sz w:val="32"/>
          <w:szCs w:val="32"/>
        </w:rPr>
        <w:t>Endocrine System Class Activity</w:t>
      </w:r>
    </w:p>
    <w:p w:rsidR="000E698F" w:rsidRPr="00703D8A" w:rsidRDefault="000E698F" w:rsidP="000E698F">
      <w:pPr>
        <w:pStyle w:val="Heading1"/>
        <w:rPr>
          <w:lang w:val="fr-FR"/>
        </w:rPr>
      </w:pPr>
      <w:r w:rsidRPr="00703D8A">
        <w:rPr>
          <w:lang w:val="fr-FR"/>
        </w:rPr>
        <w:t xml:space="preserve">Part B: </w:t>
      </w:r>
      <w:proofErr w:type="spellStart"/>
      <w:r w:rsidR="008A02F3" w:rsidRPr="00703D8A">
        <w:rPr>
          <w:lang w:val="fr-FR"/>
        </w:rPr>
        <w:t>Cushing’s</w:t>
      </w:r>
      <w:proofErr w:type="spellEnd"/>
      <w:r w:rsidR="008A02F3" w:rsidRPr="00703D8A">
        <w:rPr>
          <w:lang w:val="fr-FR"/>
        </w:rPr>
        <w:t xml:space="preserve"> </w:t>
      </w:r>
      <w:r w:rsidR="00E32F91" w:rsidRPr="00703D8A">
        <w:rPr>
          <w:lang w:val="fr-FR"/>
        </w:rPr>
        <w:t>Syndrome</w:t>
      </w:r>
      <w:r w:rsidR="008A02F3" w:rsidRPr="00703D8A">
        <w:rPr>
          <w:lang w:val="fr-FR"/>
        </w:rPr>
        <w:t xml:space="preserve"> </w:t>
      </w:r>
      <w:r w:rsidRPr="00703D8A">
        <w:rPr>
          <w:lang w:val="fr-FR"/>
        </w:rPr>
        <w:t>(</w:t>
      </w:r>
      <w:r w:rsidR="00703D8A" w:rsidRPr="00703D8A">
        <w:rPr>
          <w:lang w:val="fr-FR"/>
        </w:rPr>
        <w:t>3</w:t>
      </w:r>
      <w:r w:rsidRPr="00703D8A">
        <w:rPr>
          <w:lang w:val="fr-FR"/>
        </w:rPr>
        <w:t>0 min)</w:t>
      </w:r>
    </w:p>
    <w:p w:rsidR="000E698F" w:rsidRDefault="000E698F" w:rsidP="000E698F">
      <w:pPr>
        <w:pStyle w:val="NormalText"/>
        <w:rPr>
          <w:rFonts w:ascii="Calibri" w:hAnsi="Calibri" w:cs="Calibri"/>
        </w:rPr>
      </w:pPr>
      <w:r w:rsidRPr="00801D3F">
        <w:rPr>
          <w:rFonts w:ascii="Calibri" w:hAnsi="Calibri" w:cs="Calibri"/>
        </w:rPr>
        <w:t xml:space="preserve">Chronically high levels of glucocorticoids can result in obesity, muscle weakness, and depression, a combination of symptoms called Cushing’s syndrome. </w:t>
      </w: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4F0E86" wp14:editId="6EECE9FE">
            <wp:simplePos x="0" y="0"/>
            <wp:positionH relativeFrom="column">
              <wp:posOffset>3467735</wp:posOffset>
            </wp:positionH>
            <wp:positionV relativeFrom="paragraph">
              <wp:posOffset>34925</wp:posOffset>
            </wp:positionV>
            <wp:extent cx="2245360" cy="2734945"/>
            <wp:effectExtent l="0" t="0" r="2540" b="8255"/>
            <wp:wrapTight wrapText="bothSides">
              <wp:wrapPolygon edited="0">
                <wp:start x="0" y="0"/>
                <wp:lineTo x="0" y="21515"/>
                <wp:lineTo x="21441" y="21515"/>
                <wp:lineTo x="21441" y="0"/>
                <wp:lineTo x="0" y="0"/>
              </wp:wrapPolygon>
            </wp:wrapTight>
            <wp:docPr id="3" name="Picture 3" descr="http://adrenalcenter.org/img/pic_cushings_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renalcenter.org/img/pic_cushings_sig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E5588D" wp14:editId="1682E9C6">
            <wp:simplePos x="0" y="0"/>
            <wp:positionH relativeFrom="column">
              <wp:posOffset>271145</wp:posOffset>
            </wp:positionH>
            <wp:positionV relativeFrom="paragraph">
              <wp:posOffset>-1270</wp:posOffset>
            </wp:positionV>
            <wp:extent cx="2062480" cy="2846705"/>
            <wp:effectExtent l="0" t="0" r="0" b="0"/>
            <wp:wrapTight wrapText="bothSides">
              <wp:wrapPolygon edited="0">
                <wp:start x="0" y="0"/>
                <wp:lineTo x="0" y="21393"/>
                <wp:lineTo x="21347" y="21393"/>
                <wp:lineTo x="21347" y="0"/>
                <wp:lineTo x="0" y="0"/>
              </wp:wrapPolygon>
            </wp:wrapTight>
            <wp:docPr id="2" name="Picture 2" descr="http://www.physio-pedia.com/images/0/06/Cushings-syndro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o-pedia.com/images/0/06/Cushings-syndrom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6416AF" w:rsidRDefault="006416AF" w:rsidP="000E698F">
      <w:pPr>
        <w:pStyle w:val="NormalText"/>
        <w:rPr>
          <w:rFonts w:ascii="Calibri" w:hAnsi="Calibri" w:cs="Calibri"/>
        </w:rPr>
      </w:pPr>
    </w:p>
    <w:p w:rsidR="000E698F" w:rsidRDefault="000E698F" w:rsidP="000E698F">
      <w:pPr>
        <w:pStyle w:val="NormalText"/>
        <w:numPr>
          <w:ilvl w:val="0"/>
          <w:numId w:val="3"/>
        </w:numPr>
        <w:rPr>
          <w:rFonts w:ascii="Calibri" w:hAnsi="Calibri" w:cs="Calibri"/>
        </w:rPr>
      </w:pPr>
      <w:r w:rsidRPr="00801D3F">
        <w:rPr>
          <w:rFonts w:ascii="Calibri" w:hAnsi="Calibri" w:cs="Calibri"/>
        </w:rPr>
        <w:t xml:space="preserve">Excessive activity of </w:t>
      </w:r>
      <w:r>
        <w:rPr>
          <w:rFonts w:ascii="Calibri" w:hAnsi="Calibri" w:cs="Calibri"/>
        </w:rPr>
        <w:t>which endocrine gland</w:t>
      </w:r>
      <w:r w:rsidR="00DA4B66">
        <w:rPr>
          <w:rFonts w:ascii="Calibri" w:hAnsi="Calibri" w:cs="Calibri"/>
        </w:rPr>
        <w:t>(</w:t>
      </w:r>
      <w:r>
        <w:rPr>
          <w:rFonts w:ascii="Calibri" w:hAnsi="Calibri" w:cs="Calibri"/>
        </w:rPr>
        <w:t>s</w:t>
      </w:r>
      <w:r w:rsidR="00DA4B6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could result in Cushing’s syndrome?</w:t>
      </w:r>
      <w:r w:rsidR="00B12F0E">
        <w:rPr>
          <w:rFonts w:ascii="Calibri" w:hAnsi="Calibri" w:cs="Calibri"/>
        </w:rPr>
        <w:t xml:space="preserve"> </w:t>
      </w:r>
    </w:p>
    <w:p w:rsidR="000E698F" w:rsidRPr="00801D3F" w:rsidRDefault="000E698F" w:rsidP="000E698F">
      <w:pPr>
        <w:pStyle w:val="NormalText"/>
        <w:ind w:firstLine="720"/>
        <w:rPr>
          <w:rFonts w:ascii="Calibri" w:hAnsi="Calibri" w:cs="Calibri"/>
        </w:rPr>
      </w:pPr>
      <w:r w:rsidRPr="00801D3F">
        <w:rPr>
          <w:rFonts w:ascii="Calibri" w:hAnsi="Calibri" w:cs="Calibri"/>
        </w:rPr>
        <w:t xml:space="preserve"> </w:t>
      </w:r>
    </w:p>
    <w:p w:rsidR="000E698F" w:rsidRDefault="000E698F" w:rsidP="000E698F">
      <w:pPr>
        <w:pStyle w:val="NormalText"/>
        <w:rPr>
          <w:rFonts w:ascii="Calibri" w:hAnsi="Calibri" w:cs="Calibri"/>
        </w:rPr>
      </w:pPr>
    </w:p>
    <w:p w:rsidR="000E698F" w:rsidRDefault="000E698F" w:rsidP="000E698F">
      <w:pPr>
        <w:pStyle w:val="NormalText"/>
        <w:numPr>
          <w:ilvl w:val="0"/>
          <w:numId w:val="3"/>
        </w:numPr>
        <w:rPr>
          <w:rFonts w:ascii="Calibri" w:hAnsi="Calibri" w:cs="Calibri"/>
        </w:rPr>
      </w:pPr>
      <w:r w:rsidRPr="00801D3F">
        <w:rPr>
          <w:rFonts w:ascii="Calibri" w:hAnsi="Calibri" w:cs="Calibri"/>
        </w:rPr>
        <w:t>To determine which gland has abnormal activity in a particular patient</w:t>
      </w:r>
      <w:r>
        <w:rPr>
          <w:rFonts w:ascii="Calibri" w:hAnsi="Calibri" w:cs="Calibri"/>
        </w:rPr>
        <w:t xml:space="preserve"> with Cushing’s syndrome</w:t>
      </w:r>
      <w:r w:rsidRPr="00801D3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physicians</w:t>
      </w:r>
      <w:r w:rsidRPr="00801D3F">
        <w:rPr>
          <w:rFonts w:ascii="Calibri" w:hAnsi="Calibri" w:cs="Calibri"/>
        </w:rPr>
        <w:t xml:space="preserve"> use the drug dexamethasone</w:t>
      </w:r>
      <w:r>
        <w:rPr>
          <w:rFonts w:ascii="Calibri" w:hAnsi="Calibri" w:cs="Calibri"/>
        </w:rPr>
        <w:t xml:space="preserve"> (</w:t>
      </w:r>
      <w:r w:rsidRPr="00801D3F">
        <w:rPr>
          <w:rFonts w:ascii="Calibri" w:hAnsi="Calibri" w:cs="Calibri"/>
        </w:rPr>
        <w:t>a synthetic glucocorticoid</w:t>
      </w:r>
      <w:r>
        <w:rPr>
          <w:rFonts w:ascii="Calibri" w:hAnsi="Calibri" w:cs="Calibri"/>
        </w:rPr>
        <w:t xml:space="preserve">). The release of which tropic hormone is affected by the administration of this drug? What is the effect of dexamethasone administration on this tropic hormone? </w:t>
      </w:r>
    </w:p>
    <w:p w:rsidR="000E698F" w:rsidRDefault="000E698F" w:rsidP="000E698F">
      <w:pPr>
        <w:pStyle w:val="NormalText"/>
        <w:ind w:firstLine="720"/>
        <w:rPr>
          <w:rFonts w:ascii="Calibri" w:hAnsi="Calibri" w:cs="Calibri"/>
        </w:rPr>
      </w:pPr>
    </w:p>
    <w:p w:rsidR="000E698F" w:rsidRDefault="000E698F" w:rsidP="00C957BD">
      <w:pPr>
        <w:pStyle w:val="NormalTex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 patient affected by Cushing’s </w:t>
      </w:r>
      <w:r w:rsidR="00E32F91">
        <w:rPr>
          <w:rFonts w:ascii="Calibri" w:hAnsi="Calibri" w:cs="Calibri"/>
        </w:rPr>
        <w:t>syndrome</w:t>
      </w:r>
      <w:r>
        <w:rPr>
          <w:rFonts w:ascii="Calibri" w:hAnsi="Calibri" w:cs="Calibri"/>
        </w:rPr>
        <w:t>, dexamethasone was administered and the levels of blood cortisol were measured in triplicates. The following results were obtained.</w:t>
      </w:r>
    </w:p>
    <w:p w:rsidR="00C957BD" w:rsidRDefault="00C957BD" w:rsidP="00C957BD">
      <w:pPr>
        <w:pStyle w:val="NormalText"/>
        <w:ind w:left="360"/>
        <w:rPr>
          <w:rFonts w:ascii="Calibri" w:hAnsi="Calibri" w:cs="Calibr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551"/>
        <w:gridCol w:w="2977"/>
      </w:tblGrid>
      <w:tr w:rsidR="000E698F" w:rsidRPr="00613C4D" w:rsidTr="002B3CB6">
        <w:trPr>
          <w:trHeight w:val="474"/>
        </w:trPr>
        <w:tc>
          <w:tcPr>
            <w:tcW w:w="2082" w:type="dxa"/>
            <w:vMerge w:val="restart"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C4D">
              <w:rPr>
                <w:rFonts w:ascii="Calibri" w:hAnsi="Calibri" w:cs="Calibri"/>
                <w:b/>
                <w:sz w:val="20"/>
                <w:szCs w:val="20"/>
              </w:rPr>
              <w:t>Individuals</w:t>
            </w:r>
          </w:p>
        </w:tc>
        <w:tc>
          <w:tcPr>
            <w:tcW w:w="5528" w:type="dxa"/>
            <w:gridSpan w:val="2"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C4D">
              <w:rPr>
                <w:rFonts w:ascii="Calibri" w:hAnsi="Calibri" w:cs="Calibri"/>
                <w:b/>
                <w:sz w:val="20"/>
                <w:szCs w:val="20"/>
              </w:rPr>
              <w:t>Cortisol in blood (µg/</w:t>
            </w:r>
            <w:proofErr w:type="spellStart"/>
            <w:r w:rsidRPr="00613C4D">
              <w:rPr>
                <w:rFonts w:ascii="Calibri" w:hAnsi="Calibri" w:cs="Calibri"/>
                <w:b/>
                <w:sz w:val="20"/>
                <w:szCs w:val="20"/>
              </w:rPr>
              <w:t>dL</w:t>
            </w:r>
            <w:proofErr w:type="spellEnd"/>
            <w:r w:rsidRPr="00613C4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0E698F" w:rsidRPr="00613C4D" w:rsidTr="002B3CB6">
        <w:trPr>
          <w:trHeight w:val="479"/>
        </w:trPr>
        <w:tc>
          <w:tcPr>
            <w:tcW w:w="2082" w:type="dxa"/>
            <w:vMerge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C4D">
              <w:rPr>
                <w:rFonts w:ascii="Calibri" w:hAnsi="Calibri" w:cs="Calibri"/>
                <w:b/>
                <w:sz w:val="20"/>
                <w:szCs w:val="20"/>
              </w:rPr>
              <w:t>No drug administered</w:t>
            </w:r>
          </w:p>
        </w:tc>
        <w:tc>
          <w:tcPr>
            <w:tcW w:w="2977" w:type="dxa"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3C4D">
              <w:rPr>
                <w:rFonts w:ascii="Calibri" w:hAnsi="Calibri" w:cs="Calibri"/>
                <w:b/>
                <w:sz w:val="20"/>
                <w:szCs w:val="20"/>
              </w:rPr>
              <w:t>Dexamethasone administered</w:t>
            </w:r>
          </w:p>
        </w:tc>
      </w:tr>
      <w:tr w:rsidR="002B3CB6" w:rsidRPr="00613C4D" w:rsidTr="002B3CB6">
        <w:trPr>
          <w:trHeight w:val="475"/>
        </w:trPr>
        <w:tc>
          <w:tcPr>
            <w:tcW w:w="2082" w:type="dxa"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13C4D">
              <w:rPr>
                <w:rFonts w:ascii="Calibri" w:hAnsi="Calibri" w:cs="Calibri"/>
                <w:sz w:val="20"/>
                <w:szCs w:val="20"/>
              </w:rPr>
              <w:t>Normal individual</w:t>
            </w:r>
          </w:p>
        </w:tc>
        <w:tc>
          <w:tcPr>
            <w:tcW w:w="2551" w:type="dxa"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C4D">
              <w:rPr>
                <w:rFonts w:ascii="Calibri" w:hAnsi="Calibri" w:cs="Calibri"/>
                <w:sz w:val="20"/>
                <w:szCs w:val="20"/>
              </w:rPr>
              <w:t>20.00±2.11</w:t>
            </w:r>
          </w:p>
        </w:tc>
        <w:tc>
          <w:tcPr>
            <w:tcW w:w="2977" w:type="dxa"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C4D">
              <w:rPr>
                <w:rFonts w:ascii="Calibri" w:hAnsi="Calibri" w:cs="Calibri"/>
                <w:sz w:val="20"/>
                <w:szCs w:val="20"/>
              </w:rPr>
              <w:t>4.03±0.85</w:t>
            </w:r>
          </w:p>
        </w:tc>
      </w:tr>
      <w:tr w:rsidR="002B3CB6" w:rsidRPr="00613C4D" w:rsidTr="002B3CB6">
        <w:tc>
          <w:tcPr>
            <w:tcW w:w="2082" w:type="dxa"/>
            <w:vAlign w:val="center"/>
          </w:tcPr>
          <w:p w:rsidR="000E698F" w:rsidRPr="00613C4D" w:rsidRDefault="000E698F" w:rsidP="00613C4D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13C4D">
              <w:rPr>
                <w:rFonts w:ascii="Calibri" w:hAnsi="Calibri" w:cs="Calibri"/>
                <w:sz w:val="20"/>
                <w:szCs w:val="20"/>
              </w:rPr>
              <w:t xml:space="preserve">Patient </w:t>
            </w:r>
            <w:r w:rsidR="00613C4D" w:rsidRPr="00613C4D">
              <w:rPr>
                <w:rFonts w:ascii="Calibri" w:hAnsi="Calibri" w:cs="Calibri"/>
                <w:sz w:val="20"/>
                <w:szCs w:val="20"/>
              </w:rPr>
              <w:t>with</w:t>
            </w:r>
            <w:r w:rsidRPr="00613C4D">
              <w:rPr>
                <w:rFonts w:ascii="Calibri" w:hAnsi="Calibri" w:cs="Calibri"/>
                <w:sz w:val="20"/>
                <w:szCs w:val="20"/>
              </w:rPr>
              <w:t xml:space="preserve"> Cushing’s </w:t>
            </w:r>
            <w:r w:rsidR="008F6B5E" w:rsidRPr="00613C4D">
              <w:rPr>
                <w:rFonts w:ascii="Calibri" w:hAnsi="Calibri" w:cs="Calibri"/>
                <w:sz w:val="20"/>
                <w:szCs w:val="20"/>
              </w:rPr>
              <w:t>syndrome</w:t>
            </w:r>
          </w:p>
        </w:tc>
        <w:tc>
          <w:tcPr>
            <w:tcW w:w="2551" w:type="dxa"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C4D">
              <w:rPr>
                <w:rFonts w:ascii="Calibri" w:hAnsi="Calibri" w:cs="Calibri"/>
                <w:sz w:val="20"/>
                <w:szCs w:val="20"/>
              </w:rPr>
              <w:t>34.26±2.36</w:t>
            </w:r>
          </w:p>
        </w:tc>
        <w:tc>
          <w:tcPr>
            <w:tcW w:w="2977" w:type="dxa"/>
            <w:vAlign w:val="center"/>
          </w:tcPr>
          <w:p w:rsidR="000E698F" w:rsidRPr="00613C4D" w:rsidRDefault="000E698F" w:rsidP="000E698F">
            <w:pPr>
              <w:pStyle w:val="ListParagraph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3C4D">
              <w:rPr>
                <w:rFonts w:ascii="Calibri" w:hAnsi="Calibri" w:cs="Calibri"/>
                <w:sz w:val="20"/>
                <w:szCs w:val="20"/>
              </w:rPr>
              <w:t>30.74±3.41</w:t>
            </w:r>
          </w:p>
        </w:tc>
      </w:tr>
    </w:tbl>
    <w:p w:rsidR="000E698F" w:rsidRDefault="000E698F" w:rsidP="000E698F">
      <w:pPr>
        <w:pStyle w:val="ListParagraph"/>
        <w:rPr>
          <w:rFonts w:ascii="Calibri" w:hAnsi="Calibri" w:cs="Calibri"/>
        </w:rPr>
      </w:pPr>
    </w:p>
    <w:p w:rsidR="000E698F" w:rsidRDefault="000E698F" w:rsidP="000E698F">
      <w:pPr>
        <w:pStyle w:val="NormalText"/>
        <w:ind w:left="720"/>
        <w:rPr>
          <w:rFonts w:ascii="Calibri" w:hAnsi="Calibri" w:cs="Calibri"/>
        </w:rPr>
      </w:pPr>
    </w:p>
    <w:p w:rsidR="00C957BD" w:rsidRDefault="00C957BD" w:rsidP="000E698F">
      <w:pPr>
        <w:pStyle w:val="NormalTex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Draw a graph that compares the levels of cortisol in both individuals. Label your graph appropriately. </w:t>
      </w:r>
    </w:p>
    <w:p w:rsidR="00ED011D" w:rsidRPr="00ED011D" w:rsidRDefault="00ED011D" w:rsidP="00ED011D">
      <w:pPr>
        <w:pStyle w:val="NormalText"/>
        <w:ind w:left="720"/>
        <w:rPr>
          <w:rFonts w:ascii="Calibri" w:hAnsi="Calibri" w:cs="Calibri"/>
        </w:rPr>
      </w:pPr>
    </w:p>
    <w:p w:rsidR="00ED011D" w:rsidRPr="00ED011D" w:rsidRDefault="00ED011D" w:rsidP="000E698F">
      <w:pPr>
        <w:pStyle w:val="NormalText"/>
        <w:numPr>
          <w:ilvl w:val="0"/>
          <w:numId w:val="3"/>
        </w:numPr>
        <w:rPr>
          <w:rFonts w:ascii="Calibri" w:hAnsi="Calibri" w:cs="Calibri"/>
        </w:rPr>
      </w:pPr>
      <w:r w:rsidRPr="00ED011D">
        <w:rPr>
          <w:rFonts w:ascii="Calibri" w:hAnsi="Calibri" w:cs="Calibri"/>
          <w:bCs/>
        </w:rPr>
        <w:t>Which statistical test would you perform in order to determine whether the difference in blood cortisol levels in the patient with Cushing’s syndrome is significant?</w:t>
      </w:r>
    </w:p>
    <w:p w:rsidR="00C957BD" w:rsidRPr="00ED011D" w:rsidRDefault="00C957BD" w:rsidP="00C957BD">
      <w:pPr>
        <w:pStyle w:val="NormalText"/>
        <w:ind w:left="360"/>
        <w:rPr>
          <w:rFonts w:ascii="Calibri" w:hAnsi="Calibri" w:cs="Calibri"/>
        </w:rPr>
      </w:pPr>
    </w:p>
    <w:p w:rsidR="000E698F" w:rsidRPr="00801D3F" w:rsidRDefault="000E698F" w:rsidP="000E698F">
      <w:pPr>
        <w:pStyle w:val="NormalText"/>
        <w:numPr>
          <w:ilvl w:val="0"/>
          <w:numId w:val="3"/>
        </w:numPr>
        <w:rPr>
          <w:rFonts w:ascii="Calibri" w:hAnsi="Calibri" w:cs="Calibri"/>
        </w:rPr>
      </w:pPr>
      <w:r w:rsidRPr="00801D3F">
        <w:rPr>
          <w:rFonts w:ascii="Calibri" w:hAnsi="Calibri" w:cs="Calibri"/>
        </w:rPr>
        <w:t xml:space="preserve">Based on the </w:t>
      </w:r>
      <w:r w:rsidR="00C957BD">
        <w:rPr>
          <w:rFonts w:ascii="Calibri" w:hAnsi="Calibri" w:cs="Calibri"/>
        </w:rPr>
        <w:t>cortisol levels obtained above</w:t>
      </w:r>
      <w:r w:rsidRPr="00801D3F">
        <w:rPr>
          <w:rFonts w:ascii="Calibri" w:hAnsi="Calibri" w:cs="Calibri"/>
        </w:rPr>
        <w:t xml:space="preserve">, which </w:t>
      </w:r>
      <w:r>
        <w:rPr>
          <w:rFonts w:ascii="Calibri" w:hAnsi="Calibri" w:cs="Calibri"/>
        </w:rPr>
        <w:t xml:space="preserve">endocrine </w:t>
      </w:r>
      <w:r w:rsidRPr="00801D3F">
        <w:rPr>
          <w:rFonts w:ascii="Calibri" w:hAnsi="Calibri" w:cs="Calibri"/>
        </w:rPr>
        <w:t xml:space="preserve">gland </w:t>
      </w:r>
      <w:proofErr w:type="gramStart"/>
      <w:r w:rsidRPr="00801D3F">
        <w:rPr>
          <w:rFonts w:ascii="Calibri" w:hAnsi="Calibri" w:cs="Calibri"/>
        </w:rPr>
        <w:t>is affected</w:t>
      </w:r>
      <w:proofErr w:type="gramEnd"/>
      <w:r w:rsidRPr="00801D3F">
        <w:rPr>
          <w:rFonts w:ascii="Calibri" w:hAnsi="Calibri" w:cs="Calibri"/>
        </w:rPr>
        <w:t xml:space="preserve"> in </w:t>
      </w:r>
      <w:r w:rsidR="00C957BD">
        <w:rPr>
          <w:rFonts w:ascii="Calibri" w:hAnsi="Calibri" w:cs="Calibri"/>
        </w:rPr>
        <w:t xml:space="preserve">the </w:t>
      </w:r>
      <w:r w:rsidRPr="00801D3F">
        <w:rPr>
          <w:rFonts w:ascii="Calibri" w:hAnsi="Calibri" w:cs="Calibri"/>
        </w:rPr>
        <w:t xml:space="preserve">patient </w:t>
      </w:r>
      <w:r w:rsidR="005E5EC0">
        <w:rPr>
          <w:rFonts w:ascii="Calibri" w:hAnsi="Calibri" w:cs="Calibri"/>
        </w:rPr>
        <w:t xml:space="preserve">with </w:t>
      </w:r>
      <w:r w:rsidR="00C957BD">
        <w:rPr>
          <w:rFonts w:ascii="Calibri" w:hAnsi="Calibri" w:cs="Calibri"/>
        </w:rPr>
        <w:t xml:space="preserve">Cushing’s </w:t>
      </w:r>
      <w:r w:rsidR="00E32F91">
        <w:rPr>
          <w:rFonts w:ascii="Calibri" w:hAnsi="Calibri" w:cs="Calibri"/>
        </w:rPr>
        <w:t>syndrome</w:t>
      </w:r>
      <w:r w:rsidRPr="00801D3F">
        <w:rPr>
          <w:rFonts w:ascii="Calibri" w:hAnsi="Calibri" w:cs="Calibri"/>
        </w:rPr>
        <w:t>? Explain</w:t>
      </w:r>
      <w:r>
        <w:rPr>
          <w:rFonts w:ascii="Calibri" w:hAnsi="Calibri" w:cs="Calibri"/>
        </w:rPr>
        <w:t xml:space="preserve">. </w:t>
      </w:r>
      <w:bookmarkStart w:id="0" w:name="_GoBack"/>
      <w:bookmarkEnd w:id="0"/>
    </w:p>
    <w:sectPr w:rsidR="000E698F" w:rsidRPr="00801D3F" w:rsidSect="00D16822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1B5C"/>
    <w:multiLevelType w:val="hybridMultilevel"/>
    <w:tmpl w:val="C4E2B3C2"/>
    <w:lvl w:ilvl="0" w:tplc="31BA3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1277"/>
    <w:multiLevelType w:val="hybridMultilevel"/>
    <w:tmpl w:val="2C840DD6"/>
    <w:lvl w:ilvl="0" w:tplc="1AE29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E310A">
      <w:start w:val="13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8D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6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E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8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E2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07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4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BC443F"/>
    <w:multiLevelType w:val="hybridMultilevel"/>
    <w:tmpl w:val="DA3250D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960971"/>
    <w:multiLevelType w:val="hybridMultilevel"/>
    <w:tmpl w:val="E4228462"/>
    <w:lvl w:ilvl="0" w:tplc="020A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C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6A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06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C7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82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62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CA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B7"/>
    <w:rsid w:val="0003058E"/>
    <w:rsid w:val="000D79B7"/>
    <w:rsid w:val="000E698F"/>
    <w:rsid w:val="0013396A"/>
    <w:rsid w:val="00136B23"/>
    <w:rsid w:val="001A050B"/>
    <w:rsid w:val="002B3CB6"/>
    <w:rsid w:val="003D11DA"/>
    <w:rsid w:val="004F0E4C"/>
    <w:rsid w:val="00511523"/>
    <w:rsid w:val="005C72DA"/>
    <w:rsid w:val="005E5EC0"/>
    <w:rsid w:val="00613C4D"/>
    <w:rsid w:val="0062511B"/>
    <w:rsid w:val="006416AF"/>
    <w:rsid w:val="006C0AC1"/>
    <w:rsid w:val="006D1A6F"/>
    <w:rsid w:val="00703D8A"/>
    <w:rsid w:val="0070799B"/>
    <w:rsid w:val="007E2CCA"/>
    <w:rsid w:val="008A02F3"/>
    <w:rsid w:val="008F6B5E"/>
    <w:rsid w:val="009B74C3"/>
    <w:rsid w:val="009F14EF"/>
    <w:rsid w:val="00A2518F"/>
    <w:rsid w:val="00B12F0E"/>
    <w:rsid w:val="00C957BD"/>
    <w:rsid w:val="00CB7598"/>
    <w:rsid w:val="00D16822"/>
    <w:rsid w:val="00DA4B66"/>
    <w:rsid w:val="00DB5DF4"/>
    <w:rsid w:val="00E32F91"/>
    <w:rsid w:val="00ED011D"/>
    <w:rsid w:val="00EF1DEB"/>
    <w:rsid w:val="00F57239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E7E2"/>
  <w15:docId w15:val="{153ED6F0-855C-4AE8-8688-0DE69752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68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6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Text">
    <w:name w:val="Normal Text"/>
    <w:rsid w:val="000E698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0E698F"/>
    <w:pPr>
      <w:ind w:left="720"/>
      <w:contextualSpacing/>
    </w:pPr>
  </w:style>
  <w:style w:type="table" w:styleId="TableGrid">
    <w:name w:val="Table Grid"/>
    <w:basedOn w:val="TableNormal"/>
    <w:uiPriority w:val="59"/>
    <w:rsid w:val="000E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656B-D03A-4453-A9E0-7F4EFD30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awade</dc:creator>
  <cp:lastModifiedBy>Edward Awad</cp:lastModifiedBy>
  <cp:revision>9</cp:revision>
  <cp:lastPrinted>2014-03-11T15:33:00Z</cp:lastPrinted>
  <dcterms:created xsi:type="dcterms:W3CDTF">2016-04-25T14:15:00Z</dcterms:created>
  <dcterms:modified xsi:type="dcterms:W3CDTF">2019-03-14T18:41:00Z</dcterms:modified>
</cp:coreProperties>
</file>