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20" w:before="120" w:line="240" w:lineRule="auto"/>
        <w:ind w:left="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Follow the steps below and submit your Reflective Writing before (date and time) on (desired platform).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rPr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STEP 1. </w:t>
      </w:r>
      <w:r w:rsidDel="00000000" w:rsidR="00000000" w:rsidRPr="00000000">
        <w:rPr>
          <w:sz w:val="20"/>
          <w:szCs w:val="20"/>
          <w:rtl w:val="0"/>
        </w:rPr>
        <w:t xml:space="preserve">First, please read Barbara Oakley’s "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Coping with Hitchhikers and Couch Potatoes</w:t>
        </w:r>
      </w:hyperlink>
      <w:r w:rsidDel="00000000" w:rsidR="00000000" w:rsidRPr="00000000">
        <w:rPr>
          <w:sz w:val="20"/>
          <w:szCs w:val="20"/>
          <w:rtl w:val="0"/>
        </w:rPr>
        <w:t xml:space="preserve">" by Barbara Oakley.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0" w:before="6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This is an excerpt from: 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0" w:before="60"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Oakley, B., Felder, R. M., Brent, R., &amp; Elhajj, I. (2004). Turning student groups into effective teams.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Journal of student centered learning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(1), 9-34.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STEP 2.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Please submit a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reflective writing (RW) on all four questions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 you describe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positive group project experience</w:t>
      </w:r>
      <w:r w:rsidDel="00000000" w:rsidR="00000000" w:rsidRPr="00000000">
        <w:rPr>
          <w:sz w:val="20"/>
          <w:szCs w:val="20"/>
          <w:rtl w:val="0"/>
        </w:rPr>
        <w:t xml:space="preserve"> you have had at school?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Thinking about the above experience, come up with 2-3 policies that help make group work effective.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are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biggest challenges </w:t>
      </w:r>
      <w:r w:rsidDel="00000000" w:rsidR="00000000" w:rsidRPr="00000000">
        <w:rPr>
          <w:sz w:val="20"/>
          <w:szCs w:val="20"/>
          <w:rtl w:val="0"/>
        </w:rPr>
        <w:t xml:space="preserve">(logistical or interpersonal) for group projects at school? List the top 2-3 challenges.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Write (at least 250 words) on how you feel </w:t>
      </w:r>
      <w:hyperlink r:id="rId8">
        <w:r w:rsidDel="00000000" w:rsidR="00000000" w:rsidRPr="00000000">
          <w:rPr>
            <w:color w:val="0066cc"/>
            <w:sz w:val="20"/>
            <w:szCs w:val="20"/>
            <w:u w:val="single"/>
            <w:rtl w:val="0"/>
          </w:rPr>
          <w:t xml:space="preserve">Barbara Oakley's</w:t>
        </w:r>
      </w:hyperlink>
      <w:r w:rsidDel="00000000" w:rsidR="00000000" w:rsidRPr="00000000">
        <w:rPr>
          <w:color w:val="0066cc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description of a "couch potato" or "hitchhiker" applies to your past or present experience. (Have you ever been a “couch potato” or a “hitchhiker”?) How should we address these behaviors?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are curious about Reflective Writing as a strategy, read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20" w:before="120" w:line="240" w:lineRule="auto"/>
        <w:ind w:left="720" w:hanging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spacing w:line="240" w:lineRule="auto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Reflective Writing for Group Work Contracting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saltise.ca/strategy/reflective-writing/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SE8Us0kyVbuA_oLj_U7CuQj4U3INBr3W" TargetMode="External"/><Relationship Id="rId7" Type="http://schemas.openxmlformats.org/officeDocument/2006/relationships/hyperlink" Target="https://www.saltise.ca/strategy/reflective-writing/" TargetMode="External"/><Relationship Id="rId8" Type="http://schemas.openxmlformats.org/officeDocument/2006/relationships/hyperlink" Target="https://drive.google.com/open?id=1SE8Us0kyVbuA_oLj_U7CuQj4U3INBr3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